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741C" w:rsidRDefault="008D74C2">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13741C" w:rsidRDefault="008D74C2">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1.003614</w:t>
      </w:r>
    </w:p>
    <w:p w:rsidR="0013741C" w:rsidRDefault="008D74C2">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13741C" w:rsidRDefault="008D74C2">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giấy phép vào cảng, bến thủy nội địa đối với phương tiện, thủy phi cơ</w:t>
      </w:r>
    </w:p>
    <w:p w:rsidR="0013741C" w:rsidRDefault="008D74C2">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w:t>
      </w:r>
    </w:p>
    <w:p w:rsidR="0013741C" w:rsidRDefault="008D74C2">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13741C" w:rsidRDefault="008D74C2">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 xml:space="preserve">Hàng hải </w:t>
      </w:r>
      <w:r>
        <w:rPr>
          <w:rFonts w:ascii="Times New Roman" w:eastAsia="Times New Roman" w:hAnsi="Times New Roman" w:cs="Times New Roman"/>
          <w:sz w:val="26"/>
        </w:rPr>
        <w:t>và đường thủy nội địa</w:t>
      </w:r>
    </w:p>
    <w:p w:rsidR="0013741C" w:rsidRDefault="008D74C2">
      <w:pPr>
        <w:spacing w:after="0" w:line="276" w:lineRule="auto"/>
        <w:jc w:val="both"/>
      </w:pPr>
      <w:r>
        <w:rPr>
          <w:rFonts w:ascii="Times New Roman" w:eastAsia="Times New Roman" w:hAnsi="Times New Roman" w:cs="Times New Roman"/>
          <w:b/>
          <w:sz w:val="26"/>
        </w:rPr>
        <w:t xml:space="preserve">Trình tự thực hiện: </w:t>
      </w:r>
    </w:p>
    <w:p w:rsidR="0013741C" w:rsidRDefault="008D74C2">
      <w:pPr>
        <w:shd w:val="clear" w:color="auto" w:fill="F2F6F9"/>
        <w:spacing w:before="120" w:after="0" w:line="276" w:lineRule="auto"/>
        <w:jc w:val="both"/>
      </w:pPr>
      <w:r>
        <w:rPr>
          <w:rFonts w:ascii="Times New Roman" w:eastAsia="Times New Roman" w:hAnsi="Times New Roman" w:cs="Times New Roman"/>
          <w:b/>
          <w:sz w:val="26"/>
        </w:rPr>
        <w:t>a) Nộp hồ sơ TTHC:</w:t>
      </w:r>
    </w:p>
    <w:p w:rsidR="0013741C" w:rsidRDefault="008D74C2">
      <w:pPr>
        <w:spacing w:after="0" w:line="276" w:lineRule="auto"/>
        <w:jc w:val="both"/>
      </w:pPr>
      <w:r>
        <w:rPr>
          <w:rFonts w:ascii="Times New Roman" w:eastAsia="Times New Roman" w:hAnsi="Times New Roman" w:cs="Times New Roman"/>
          <w:sz w:val="26"/>
        </w:rPr>
        <w:t>Cá nhân, tổ chức có nhu cầu cấp giấy phép vào cảng, bến thủy nội địa đối với phương tiện, thủy phi cơ nộp hồ sơ đến Cảng vụ hàng hải/Cảng vụ Đường thủy nội địa.</w:t>
      </w:r>
    </w:p>
    <w:p w:rsidR="0013741C" w:rsidRDefault="008D74C2">
      <w:pPr>
        <w:shd w:val="clear" w:color="auto" w:fill="F2F6F9"/>
        <w:spacing w:before="120" w:after="0" w:line="276" w:lineRule="auto"/>
        <w:jc w:val="both"/>
      </w:pPr>
      <w:r>
        <w:rPr>
          <w:rFonts w:ascii="Times New Roman" w:eastAsia="Times New Roman" w:hAnsi="Times New Roman" w:cs="Times New Roman"/>
          <w:b/>
          <w:sz w:val="26"/>
        </w:rPr>
        <w:t>b) Giải quyết TTHC:</w:t>
      </w:r>
    </w:p>
    <w:p w:rsidR="0013741C" w:rsidRDefault="008D74C2">
      <w:pPr>
        <w:spacing w:after="0" w:line="276" w:lineRule="auto"/>
        <w:jc w:val="both"/>
      </w:pPr>
      <w:r>
        <w:rPr>
          <w:rFonts w:ascii="Times New Roman" w:eastAsia="Times New Roman" w:hAnsi="Times New Roman" w:cs="Times New Roman"/>
          <w:sz w:val="26"/>
        </w:rPr>
        <w:t>- Trước khi p</w:t>
      </w:r>
      <w:r>
        <w:rPr>
          <w:rFonts w:ascii="Times New Roman" w:eastAsia="Times New Roman" w:hAnsi="Times New Roman" w:cs="Times New Roman"/>
          <w:sz w:val="26"/>
        </w:rPr>
        <w:t>hương tiện, thủy phi cơ vào cảng, bến thủy nội địa, người làm thủ tục thông báo về phương tiện (số đăng ký), thời gian sẽ vào, rời cảng, bến thủy nội địa và loại hàng hóa hoặc số lượng hành khách cho Cảng vụ biết. Thông báo bằng tin nhắn, điện thoại hoặc h</w:t>
      </w:r>
      <w:r>
        <w:rPr>
          <w:rFonts w:ascii="Times New Roman" w:eastAsia="Times New Roman" w:hAnsi="Times New Roman" w:cs="Times New Roman"/>
          <w:sz w:val="26"/>
        </w:rPr>
        <w:t>ình thức khác. Thuyền trưởng, người lái phương tiện chỉ được đưa phương tiện, thủy phi cơ vào cảng, bến thủy nội địa khi có đồng ý của Cảng vụ. Thời gian thông báo như sau:  + Trước 02 giờ đối với phương tiện vận tải hàng hóa;  + Trước 01 giờ đối với phươn</w:t>
      </w:r>
      <w:r>
        <w:rPr>
          <w:rFonts w:ascii="Times New Roman" w:eastAsia="Times New Roman" w:hAnsi="Times New Roman" w:cs="Times New Roman"/>
          <w:sz w:val="26"/>
        </w:rPr>
        <w:t>g tiện vận tải hành khách, thủy phi cơ. - Cảng vụ hàng hải/Cảng vụ ĐTNĐ tiếp nhận, kiểm tra hồ sơ và xử lý trong thời gian 30 phút, kể từ khi nhận đủ giấy tờ theo quy định, trừ tàu biển và phương tiện thủy nước ngoài.</w:t>
      </w:r>
    </w:p>
    <w:p w:rsidR="0013741C" w:rsidRDefault="008D74C2">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95"/>
        <w:gridCol w:w="789"/>
        <w:gridCol w:w="3692"/>
        <w:gridCol w:w="4235"/>
      </w:tblGrid>
      <w:tr w:rsidR="0013741C">
        <w:tblPrEx>
          <w:tblCellMar>
            <w:top w:w="0" w:type="dxa"/>
            <w:bottom w:w="0" w:type="dxa"/>
          </w:tblCellMar>
        </w:tblPrEx>
        <w:tc>
          <w:tcPr>
            <w:tcW w:w="1500" w:type="dxa"/>
          </w:tcPr>
          <w:p w:rsidR="0013741C" w:rsidRDefault="0013741C"/>
          <w:p w:rsidR="0013741C" w:rsidRDefault="008D74C2">
            <w:pPr>
              <w:spacing w:after="0" w:line="276" w:lineRule="auto"/>
              <w:jc w:val="center"/>
            </w:pPr>
            <w:r>
              <w:rPr>
                <w:rFonts w:ascii="Times New Roman" w:eastAsia="Times New Roman" w:hAnsi="Times New Roman" w:cs="Times New Roman"/>
                <w:b/>
                <w:sz w:val="26"/>
              </w:rPr>
              <w:t>Hình thức nộp</w:t>
            </w:r>
          </w:p>
        </w:tc>
        <w:tc>
          <w:tcPr>
            <w:tcW w:w="2000" w:type="dxa"/>
          </w:tcPr>
          <w:p w:rsidR="0013741C" w:rsidRDefault="0013741C"/>
          <w:p w:rsidR="0013741C" w:rsidRDefault="008D74C2">
            <w:pPr>
              <w:spacing w:after="0" w:line="276" w:lineRule="auto"/>
              <w:jc w:val="center"/>
            </w:pPr>
            <w:r>
              <w:rPr>
                <w:rFonts w:ascii="Times New Roman" w:eastAsia="Times New Roman" w:hAnsi="Times New Roman" w:cs="Times New Roman"/>
                <w:b/>
                <w:sz w:val="26"/>
              </w:rPr>
              <w:t>Thời hạn giải quyết</w:t>
            </w:r>
          </w:p>
        </w:tc>
        <w:tc>
          <w:tcPr>
            <w:tcW w:w="3500" w:type="dxa"/>
          </w:tcPr>
          <w:p w:rsidR="0013741C" w:rsidRDefault="0013741C"/>
          <w:p w:rsidR="0013741C" w:rsidRDefault="008D74C2">
            <w:pPr>
              <w:spacing w:after="0" w:line="276" w:lineRule="auto"/>
              <w:jc w:val="center"/>
            </w:pPr>
            <w:r>
              <w:rPr>
                <w:rFonts w:ascii="Times New Roman" w:eastAsia="Times New Roman" w:hAnsi="Times New Roman" w:cs="Times New Roman"/>
                <w:b/>
                <w:sz w:val="26"/>
              </w:rPr>
              <w:t>Phí, lệ phí</w:t>
            </w:r>
          </w:p>
        </w:tc>
        <w:tc>
          <w:tcPr>
            <w:tcW w:w="3000" w:type="dxa"/>
          </w:tcPr>
          <w:p w:rsidR="0013741C" w:rsidRDefault="0013741C"/>
          <w:p w:rsidR="0013741C" w:rsidRDefault="008D74C2">
            <w:pPr>
              <w:spacing w:after="0" w:line="276" w:lineRule="auto"/>
              <w:jc w:val="center"/>
            </w:pPr>
            <w:r>
              <w:rPr>
                <w:rFonts w:ascii="Times New Roman" w:eastAsia="Times New Roman" w:hAnsi="Times New Roman" w:cs="Times New Roman"/>
                <w:b/>
                <w:sz w:val="26"/>
              </w:rPr>
              <w:t>Mô tả</w:t>
            </w:r>
          </w:p>
        </w:tc>
      </w:tr>
      <w:tr w:rsidR="0013741C">
        <w:tblPrEx>
          <w:tblCellMar>
            <w:top w:w="0" w:type="dxa"/>
            <w:bottom w:w="0" w:type="dxa"/>
          </w:tblCellMar>
        </w:tblPrEx>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Trực tiếp</w:t>
            </w:r>
          </w:p>
        </w:tc>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0.5 Giờ</w:t>
            </w:r>
          </w:p>
        </w:tc>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(Theo phí, lệ phí quy định tại Thông tư số 248/2016/TT-BTC ngày 11/11/2016 của Bộ Tài chính quy định mức thu, chế độ thu, nộp, quản lý và sử dụng phí, lệ phí áp dụng tại cảng, bến thủy nội địa.)</w:t>
            </w:r>
          </w:p>
        </w:tc>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Thời hạn giải quyết: Trong thời gian 30 phút, kể từ khi nhậ</w:t>
            </w:r>
            <w:r>
              <w:rPr>
                <w:rFonts w:ascii="Times New Roman" w:eastAsia="Times New Roman" w:hAnsi="Times New Roman" w:cs="Times New Roman"/>
                <w:sz w:val="26"/>
              </w:rPr>
              <w:t>n đủ giấy tờ theo quy định, trừ tàu biển và phương tiện thủy nước ngoài.</w:t>
            </w:r>
          </w:p>
        </w:tc>
      </w:tr>
      <w:tr w:rsidR="0013741C">
        <w:tblPrEx>
          <w:tblCellMar>
            <w:top w:w="0" w:type="dxa"/>
            <w:bottom w:w="0" w:type="dxa"/>
          </w:tblCellMar>
        </w:tblPrEx>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lastRenderedPageBreak/>
              <w:t>Trực tuyến</w:t>
            </w:r>
          </w:p>
        </w:tc>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lastRenderedPageBreak/>
              <w:t>0.5 Giờ</w:t>
            </w:r>
          </w:p>
        </w:tc>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lastRenderedPageBreak/>
              <w:t>Phí :  Đồng</w:t>
            </w:r>
            <w:r>
              <w:rPr>
                <w:rFonts w:ascii="Times New Roman" w:eastAsia="Times New Roman" w:hAnsi="Times New Roman" w:cs="Times New Roman"/>
                <w:sz w:val="26"/>
              </w:rPr>
              <w:t xml:space="preserve"> (Theo phí, lệ phí quy định tại Thông tư số 248/2016/TT-BTC ngày 11/11/2016 của Bộ Tài chính quy định mức thu, chế độ thu, nộp, quản lý và sử dụng phí, lệ phí áp dụng tại cảng, bến thủy nội địa.)</w:t>
            </w:r>
          </w:p>
        </w:tc>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lastRenderedPageBreak/>
              <w:t>Các phương thức điện tử sau đây: - Thủ tục điện tử thông qu</w:t>
            </w:r>
            <w:r>
              <w:rPr>
                <w:rFonts w:ascii="Times New Roman" w:eastAsia="Times New Roman" w:hAnsi="Times New Roman" w:cs="Times New Roman"/>
                <w:sz w:val="26"/>
              </w:rPr>
              <w:t>a Cổng thông tin điện tử của Bộ Xây dựng (phương tiện, tàu biển vận tải nội địa, thủy phi cơ); - Thủ tục điện tử áp dụng cơ chế một cửa quốc gia (phương tiện, tàu biển xuất, nhập cảnh, phương tiện thủy nước ngoài); - Thủ tục điện tử thông qua Cơ chế một cử</w:t>
            </w:r>
            <w:r>
              <w:rPr>
                <w:rFonts w:ascii="Times New Roman" w:eastAsia="Times New Roman" w:hAnsi="Times New Roman" w:cs="Times New Roman"/>
                <w:sz w:val="26"/>
              </w:rPr>
              <w:t>a Asean; - Hình thức khác theo quy định của pháp luật. Thời hạn giải quyết: Trong thời gian 30 phút, kể từ khi nhận đủ giấy tờ theo quy định, trừ tàu biển và phương tiện thủy nước ngoài.</w:t>
            </w:r>
          </w:p>
        </w:tc>
      </w:tr>
    </w:tbl>
    <w:p w:rsidR="0013741C" w:rsidRDefault="008D74C2">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13741C" w:rsidRDefault="008D74C2">
      <w:pPr>
        <w:shd w:val="clear" w:color="auto" w:fill="F2F6F9"/>
        <w:spacing w:before="120" w:after="0" w:line="276" w:lineRule="auto"/>
        <w:jc w:val="both"/>
      </w:pPr>
      <w:r>
        <w:rPr>
          <w:rFonts w:ascii="Times New Roman" w:eastAsia="Times New Roman" w:hAnsi="Times New Roman" w:cs="Times New Roman"/>
          <w:b/>
          <w:sz w:val="26"/>
        </w:rPr>
        <w:t>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091"/>
        <w:gridCol w:w="1644"/>
        <w:gridCol w:w="1676"/>
      </w:tblGrid>
      <w:tr w:rsidR="0013741C">
        <w:tblPrEx>
          <w:tblCellMar>
            <w:top w:w="0" w:type="dxa"/>
            <w:bottom w:w="0" w:type="dxa"/>
          </w:tblCellMar>
        </w:tblPrEx>
        <w:tc>
          <w:tcPr>
            <w:tcW w:w="6000" w:type="dxa"/>
          </w:tcPr>
          <w:p w:rsidR="0013741C" w:rsidRDefault="0013741C"/>
          <w:p w:rsidR="0013741C" w:rsidRDefault="008D74C2">
            <w:pPr>
              <w:spacing w:after="0" w:line="276" w:lineRule="auto"/>
              <w:jc w:val="center"/>
            </w:pPr>
            <w:r>
              <w:rPr>
                <w:rFonts w:ascii="Times New Roman" w:eastAsia="Times New Roman" w:hAnsi="Times New Roman" w:cs="Times New Roman"/>
                <w:b/>
                <w:sz w:val="26"/>
              </w:rPr>
              <w:t>Tên giấy tờ</w:t>
            </w:r>
          </w:p>
        </w:tc>
        <w:tc>
          <w:tcPr>
            <w:tcW w:w="2000" w:type="dxa"/>
          </w:tcPr>
          <w:p w:rsidR="0013741C" w:rsidRDefault="0013741C"/>
          <w:p w:rsidR="0013741C" w:rsidRDefault="008D74C2">
            <w:pPr>
              <w:spacing w:after="0" w:line="276" w:lineRule="auto"/>
              <w:jc w:val="center"/>
            </w:pPr>
            <w:r>
              <w:rPr>
                <w:rFonts w:ascii="Times New Roman" w:eastAsia="Times New Roman" w:hAnsi="Times New Roman" w:cs="Times New Roman"/>
                <w:b/>
                <w:sz w:val="26"/>
              </w:rPr>
              <w:t>Mẫu đơn, tờ khai</w:t>
            </w:r>
          </w:p>
        </w:tc>
        <w:tc>
          <w:tcPr>
            <w:tcW w:w="2000" w:type="dxa"/>
          </w:tcPr>
          <w:p w:rsidR="0013741C" w:rsidRDefault="0013741C"/>
          <w:p w:rsidR="0013741C" w:rsidRDefault="008D74C2">
            <w:pPr>
              <w:spacing w:after="0" w:line="276" w:lineRule="auto"/>
              <w:jc w:val="center"/>
            </w:pPr>
            <w:r>
              <w:rPr>
                <w:rFonts w:ascii="Times New Roman" w:eastAsia="Times New Roman" w:hAnsi="Times New Roman" w:cs="Times New Roman"/>
                <w:b/>
                <w:sz w:val="26"/>
              </w:rPr>
              <w:t>Số lượng</w:t>
            </w:r>
          </w:p>
        </w:tc>
      </w:tr>
      <w:tr w:rsidR="0013741C">
        <w:tblPrEx>
          <w:tblCellMar>
            <w:top w:w="0" w:type="dxa"/>
            <w:bottom w:w="0" w:type="dxa"/>
          </w:tblCellMar>
        </w:tblPrEx>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 Giấy phép rời cảng, bến thủy nội địa, trừ trường hợp làm thủ tục điện tử;</w:t>
            </w:r>
          </w:p>
        </w:tc>
        <w:tc>
          <w:tcPr>
            <w:tcW w:w="0" w:type="auto"/>
          </w:tcPr>
          <w:p w:rsidR="0013741C" w:rsidRDefault="0013741C"/>
        </w:tc>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3741C">
        <w:tblPrEx>
          <w:tblCellMar>
            <w:top w:w="0" w:type="dxa"/>
            <w:bottom w:w="0" w:type="dxa"/>
          </w:tblCellMar>
        </w:tblPrEx>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 Danh sách hành khách (đối với phương tiện vận tải hành khách).</w:t>
            </w:r>
          </w:p>
        </w:tc>
        <w:tc>
          <w:tcPr>
            <w:tcW w:w="0" w:type="auto"/>
          </w:tcPr>
          <w:p w:rsidR="0013741C" w:rsidRDefault="0013741C"/>
        </w:tc>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13741C" w:rsidRDefault="008D74C2">
      <w:pPr>
        <w:shd w:val="clear" w:color="auto" w:fill="F2F6F9"/>
        <w:spacing w:before="120" w:after="0" w:line="276" w:lineRule="auto"/>
        <w:jc w:val="both"/>
      </w:pPr>
      <w:r>
        <w:rPr>
          <w:rFonts w:ascii="Times New Roman" w:eastAsia="Times New Roman" w:hAnsi="Times New Roman" w:cs="Times New Roman"/>
          <w:b/>
          <w:sz w:val="26"/>
        </w:rPr>
        <w:t>Giấy tờ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263"/>
        <w:gridCol w:w="1031"/>
        <w:gridCol w:w="1117"/>
      </w:tblGrid>
      <w:tr w:rsidR="0013741C">
        <w:tblPrEx>
          <w:tblCellMar>
            <w:top w:w="0" w:type="dxa"/>
            <w:bottom w:w="0" w:type="dxa"/>
          </w:tblCellMar>
        </w:tblPrEx>
        <w:tc>
          <w:tcPr>
            <w:tcW w:w="6000" w:type="dxa"/>
          </w:tcPr>
          <w:p w:rsidR="0013741C" w:rsidRDefault="0013741C"/>
          <w:p w:rsidR="0013741C" w:rsidRDefault="008D74C2">
            <w:pPr>
              <w:spacing w:after="0" w:line="276" w:lineRule="auto"/>
              <w:jc w:val="center"/>
            </w:pPr>
            <w:r>
              <w:rPr>
                <w:rFonts w:ascii="Times New Roman" w:eastAsia="Times New Roman" w:hAnsi="Times New Roman" w:cs="Times New Roman"/>
                <w:b/>
                <w:sz w:val="26"/>
              </w:rPr>
              <w:t>Tên giấy tờ</w:t>
            </w:r>
          </w:p>
        </w:tc>
        <w:tc>
          <w:tcPr>
            <w:tcW w:w="2000" w:type="dxa"/>
          </w:tcPr>
          <w:p w:rsidR="0013741C" w:rsidRDefault="0013741C"/>
          <w:p w:rsidR="0013741C" w:rsidRDefault="008D74C2">
            <w:pPr>
              <w:spacing w:after="0" w:line="276" w:lineRule="auto"/>
              <w:jc w:val="center"/>
            </w:pPr>
            <w:r>
              <w:rPr>
                <w:rFonts w:ascii="Times New Roman" w:eastAsia="Times New Roman" w:hAnsi="Times New Roman" w:cs="Times New Roman"/>
                <w:b/>
                <w:sz w:val="26"/>
              </w:rPr>
              <w:t>Mẫu đơn, tờ khai</w:t>
            </w:r>
          </w:p>
        </w:tc>
        <w:tc>
          <w:tcPr>
            <w:tcW w:w="2000" w:type="dxa"/>
          </w:tcPr>
          <w:p w:rsidR="0013741C" w:rsidRDefault="0013741C"/>
          <w:p w:rsidR="0013741C" w:rsidRDefault="008D74C2">
            <w:pPr>
              <w:spacing w:after="0" w:line="276" w:lineRule="auto"/>
              <w:jc w:val="center"/>
            </w:pPr>
            <w:r>
              <w:rPr>
                <w:rFonts w:ascii="Times New Roman" w:eastAsia="Times New Roman" w:hAnsi="Times New Roman" w:cs="Times New Roman"/>
                <w:b/>
                <w:sz w:val="26"/>
              </w:rPr>
              <w:t>Số lượng</w:t>
            </w:r>
          </w:p>
        </w:tc>
      </w:tr>
      <w:tr w:rsidR="0013741C">
        <w:tblPrEx>
          <w:tblCellMar>
            <w:top w:w="0" w:type="dxa"/>
            <w:bottom w:w="0" w:type="dxa"/>
          </w:tblCellMar>
        </w:tblPrEx>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 Giấy chứng nhận đăng ký phương tiện, thủy phi cơ (hoặc bản sao có xác nhận của tổ chức tín dụng trường hợp phương tiện đang cầm cố, thế chấp)</w:t>
            </w:r>
          </w:p>
        </w:tc>
        <w:tc>
          <w:tcPr>
            <w:tcW w:w="0" w:type="auto"/>
          </w:tcPr>
          <w:p w:rsidR="0013741C" w:rsidRDefault="0013741C"/>
        </w:tc>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3741C">
        <w:tblPrEx>
          <w:tblCellMar>
            <w:top w:w="0" w:type="dxa"/>
            <w:bottom w:w="0" w:type="dxa"/>
          </w:tblCellMar>
        </w:tblPrEx>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lastRenderedPageBreak/>
              <w:t xml:space="preserve">+ Giấy chứng nhận an toàn kỹ thuật và bảo vệ môi trường của phương </w:t>
            </w:r>
            <w:r>
              <w:rPr>
                <w:rFonts w:ascii="Times New Roman" w:eastAsia="Times New Roman" w:hAnsi="Times New Roman" w:cs="Times New Roman"/>
                <w:sz w:val="26"/>
              </w:rPr>
              <w:t>tiện;</w:t>
            </w:r>
          </w:p>
        </w:tc>
        <w:tc>
          <w:tcPr>
            <w:tcW w:w="0" w:type="auto"/>
          </w:tcPr>
          <w:p w:rsidR="0013741C" w:rsidRDefault="0013741C"/>
        </w:tc>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lastRenderedPageBreak/>
              <w:t>Bản chính: 1</w:t>
            </w:r>
            <w:r>
              <w:rPr>
                <w:rFonts w:ascii="Times New Roman" w:eastAsia="Times New Roman" w:hAnsi="Times New Roman" w:cs="Times New Roman"/>
                <w:sz w:val="26"/>
              </w:rPr>
              <w:br/>
              <w:t>Bản sao: 0</w:t>
            </w:r>
          </w:p>
        </w:tc>
      </w:tr>
      <w:tr w:rsidR="0013741C">
        <w:tblPrEx>
          <w:tblCellMar>
            <w:top w:w="0" w:type="dxa"/>
            <w:bottom w:w="0" w:type="dxa"/>
          </w:tblCellMar>
        </w:tblPrEx>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 Giấy chứng nhận khả năng chuyên môn, chứng chỉ chuyên môn của thuyền viên, người lái phương tiện;</w:t>
            </w:r>
          </w:p>
        </w:tc>
        <w:tc>
          <w:tcPr>
            <w:tcW w:w="0" w:type="auto"/>
          </w:tcPr>
          <w:p w:rsidR="0013741C" w:rsidRDefault="0013741C"/>
        </w:tc>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3741C">
        <w:tblPrEx>
          <w:tblCellMar>
            <w:top w:w="0" w:type="dxa"/>
            <w:bottom w:w="0" w:type="dxa"/>
          </w:tblCellMar>
        </w:tblPrEx>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 Sổ danh bạ thuyền viên (nếu có);</w:t>
            </w:r>
          </w:p>
        </w:tc>
        <w:tc>
          <w:tcPr>
            <w:tcW w:w="0" w:type="auto"/>
          </w:tcPr>
          <w:p w:rsidR="0013741C" w:rsidRDefault="0013741C"/>
        </w:tc>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3741C">
        <w:tblPrEx>
          <w:tblCellMar>
            <w:top w:w="0" w:type="dxa"/>
            <w:bottom w:w="0" w:type="dxa"/>
          </w:tblCellMar>
        </w:tblPrEx>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 xml:space="preserve">+ Hợp đồng vận chuyển hoặc hóa </w:t>
            </w:r>
            <w:r>
              <w:rPr>
                <w:rFonts w:ascii="Times New Roman" w:eastAsia="Times New Roman" w:hAnsi="Times New Roman" w:cs="Times New Roman"/>
                <w:sz w:val="26"/>
              </w:rPr>
              <w:t>đơn xuất kho hoặc giấy vận chuyển hàng hóa;</w:t>
            </w:r>
          </w:p>
        </w:tc>
        <w:tc>
          <w:tcPr>
            <w:tcW w:w="0" w:type="auto"/>
          </w:tcPr>
          <w:p w:rsidR="0013741C" w:rsidRDefault="0013741C"/>
        </w:tc>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3741C">
        <w:tblPrEx>
          <w:tblCellMar>
            <w:top w:w="0" w:type="dxa"/>
            <w:bottom w:w="0" w:type="dxa"/>
          </w:tblCellMar>
        </w:tblPrEx>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 Bảo hiểm trách nhiệm dân sự (đối với phương tiện thuộc diện bắt buộc phải có bảo hiểm trách nhiệm dân sự);</w:t>
            </w:r>
          </w:p>
        </w:tc>
        <w:tc>
          <w:tcPr>
            <w:tcW w:w="0" w:type="auto"/>
          </w:tcPr>
          <w:p w:rsidR="0013741C" w:rsidRDefault="0013741C"/>
        </w:tc>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3741C">
        <w:tblPrEx>
          <w:tblCellMar>
            <w:top w:w="0" w:type="dxa"/>
            <w:bottom w:w="0" w:type="dxa"/>
          </w:tblCellMar>
        </w:tblPrEx>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 Giấy chứng nhận đủ điều kiện bay đối với thủy</w:t>
            </w:r>
            <w:r>
              <w:rPr>
                <w:rFonts w:ascii="Times New Roman" w:eastAsia="Times New Roman" w:hAnsi="Times New Roman" w:cs="Times New Roman"/>
                <w:sz w:val="26"/>
              </w:rPr>
              <w:t xml:space="preserve"> phi cơ;</w:t>
            </w:r>
          </w:p>
        </w:tc>
        <w:tc>
          <w:tcPr>
            <w:tcW w:w="0" w:type="auto"/>
          </w:tcPr>
          <w:p w:rsidR="0013741C" w:rsidRDefault="0013741C"/>
        </w:tc>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3741C">
        <w:tblPrEx>
          <w:tblCellMar>
            <w:top w:w="0" w:type="dxa"/>
            <w:bottom w:w="0" w:type="dxa"/>
          </w:tblCellMar>
        </w:tblPrEx>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 Giấy phép vận chuyển hàng hóa nguy hiểm, phương án vận tải hàng hóa siêu trường, siêu trọng (trường hợp phương tiện vận tải hàng hóa nguy hiểm, hàng hóa siêu trường, siêu trọng);</w:t>
            </w:r>
          </w:p>
        </w:tc>
        <w:tc>
          <w:tcPr>
            <w:tcW w:w="0" w:type="auto"/>
          </w:tcPr>
          <w:p w:rsidR="0013741C" w:rsidRDefault="0013741C"/>
        </w:tc>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3741C">
        <w:tblPrEx>
          <w:tblCellMar>
            <w:top w:w="0" w:type="dxa"/>
            <w:bottom w:w="0" w:type="dxa"/>
          </w:tblCellMar>
        </w:tblPrEx>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TRƯỜNG HỢP</w:t>
            </w:r>
            <w:r>
              <w:rPr>
                <w:rFonts w:ascii="Times New Roman" w:eastAsia="Times New Roman" w:hAnsi="Times New Roman" w:cs="Times New Roman"/>
                <w:sz w:val="26"/>
              </w:rPr>
              <w:t xml:space="preserve"> KHÔNG PHẢI XUẤT TRÌNH GIẤU TỜ:  các giấy tờ trên đã lưu trên cơ sở dữ liệu điện tử.</w:t>
            </w:r>
          </w:p>
        </w:tc>
        <w:tc>
          <w:tcPr>
            <w:tcW w:w="0" w:type="auto"/>
          </w:tcPr>
          <w:p w:rsidR="0013741C" w:rsidRDefault="0013741C"/>
        </w:tc>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rsidR="0013741C" w:rsidRDefault="008D74C2">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 nghiệp, Doanh nghiệp có vốn đầu tư nước ngo</w:t>
      </w:r>
      <w:r>
        <w:rPr>
          <w:rFonts w:ascii="Times New Roman" w:eastAsia="Times New Roman" w:hAnsi="Times New Roman" w:cs="Times New Roman"/>
          <w:sz w:val="26"/>
        </w:rPr>
        <w:t>ài, Tổ chức (không bao gồm doanh nghiệp, HTX), Tổ chức nước ngoài, Hợp tác xã</w:t>
      </w:r>
    </w:p>
    <w:p w:rsidR="0013741C" w:rsidRDefault="008D74C2">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Cảng vụ hàng hải, Cảng vụ Đường thủy nội địa</w:t>
      </w:r>
    </w:p>
    <w:p w:rsidR="0013741C" w:rsidRDefault="008D74C2">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Cảng vụ hàng hải, Cảng vụ Đường thủy nội địa</w:t>
      </w:r>
    </w:p>
    <w:p w:rsidR="0013741C" w:rsidRDefault="008D74C2">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13741C" w:rsidRDefault="008D74C2">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13741C" w:rsidRDefault="008D74C2">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13741C" w:rsidRDefault="008D74C2">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vào cảng, bến thủy nội địa đối với phương tiện, thủy phi cơ.</w:t>
      </w:r>
    </w:p>
    <w:p w:rsidR="0013741C" w:rsidRDefault="008D74C2">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13741C">
        <w:tblPrEx>
          <w:tblCellMar>
            <w:top w:w="0" w:type="dxa"/>
            <w:bottom w:w="0" w:type="dxa"/>
          </w:tblCellMar>
        </w:tblPrEx>
        <w:tc>
          <w:tcPr>
            <w:tcW w:w="2000" w:type="dxa"/>
          </w:tcPr>
          <w:p w:rsidR="0013741C" w:rsidRDefault="0013741C"/>
          <w:p w:rsidR="0013741C" w:rsidRDefault="008D74C2">
            <w:pPr>
              <w:spacing w:after="0" w:line="276" w:lineRule="auto"/>
              <w:jc w:val="center"/>
            </w:pPr>
            <w:r>
              <w:rPr>
                <w:rFonts w:ascii="Times New Roman" w:eastAsia="Times New Roman" w:hAnsi="Times New Roman" w:cs="Times New Roman"/>
                <w:b/>
                <w:sz w:val="26"/>
              </w:rPr>
              <w:t>Số ký hiệu</w:t>
            </w:r>
          </w:p>
        </w:tc>
        <w:tc>
          <w:tcPr>
            <w:tcW w:w="3500" w:type="dxa"/>
          </w:tcPr>
          <w:p w:rsidR="0013741C" w:rsidRDefault="0013741C"/>
          <w:p w:rsidR="0013741C" w:rsidRDefault="008D74C2">
            <w:pPr>
              <w:spacing w:after="0" w:line="276" w:lineRule="auto"/>
              <w:jc w:val="center"/>
            </w:pPr>
            <w:r>
              <w:rPr>
                <w:rFonts w:ascii="Times New Roman" w:eastAsia="Times New Roman" w:hAnsi="Times New Roman" w:cs="Times New Roman"/>
                <w:b/>
                <w:sz w:val="26"/>
              </w:rPr>
              <w:t>Trích yếu</w:t>
            </w:r>
          </w:p>
        </w:tc>
        <w:tc>
          <w:tcPr>
            <w:tcW w:w="1500" w:type="dxa"/>
          </w:tcPr>
          <w:p w:rsidR="0013741C" w:rsidRDefault="0013741C"/>
          <w:p w:rsidR="0013741C" w:rsidRDefault="008D74C2">
            <w:pPr>
              <w:spacing w:after="0" w:line="276" w:lineRule="auto"/>
              <w:jc w:val="center"/>
            </w:pPr>
            <w:r>
              <w:rPr>
                <w:rFonts w:ascii="Times New Roman" w:eastAsia="Times New Roman" w:hAnsi="Times New Roman" w:cs="Times New Roman"/>
                <w:b/>
                <w:sz w:val="26"/>
              </w:rPr>
              <w:t>Ngày ban hành</w:t>
            </w:r>
          </w:p>
        </w:tc>
        <w:tc>
          <w:tcPr>
            <w:tcW w:w="3000" w:type="dxa"/>
          </w:tcPr>
          <w:p w:rsidR="0013741C" w:rsidRDefault="0013741C"/>
          <w:p w:rsidR="0013741C" w:rsidRDefault="008D74C2">
            <w:pPr>
              <w:spacing w:after="0" w:line="276" w:lineRule="auto"/>
              <w:jc w:val="center"/>
            </w:pPr>
            <w:r>
              <w:rPr>
                <w:rFonts w:ascii="Times New Roman" w:eastAsia="Times New Roman" w:hAnsi="Times New Roman" w:cs="Times New Roman"/>
                <w:b/>
                <w:sz w:val="26"/>
              </w:rPr>
              <w:t>Cơ quan ban hành</w:t>
            </w:r>
          </w:p>
        </w:tc>
      </w:tr>
      <w:tr w:rsidR="0013741C">
        <w:tblPrEx>
          <w:tblCellMar>
            <w:top w:w="0" w:type="dxa"/>
            <w:bottom w:w="0" w:type="dxa"/>
          </w:tblCellMar>
        </w:tblPrEx>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08/2021/NĐ-CP</w:t>
            </w:r>
          </w:p>
        </w:tc>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Nghị định 08/2021/NĐ-CP</w:t>
            </w:r>
          </w:p>
        </w:tc>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28-01-2021</w:t>
            </w:r>
          </w:p>
        </w:tc>
        <w:tc>
          <w:tcPr>
            <w:tcW w:w="0" w:type="auto"/>
          </w:tcPr>
          <w:p w:rsidR="0013741C" w:rsidRDefault="0013741C"/>
        </w:tc>
      </w:tr>
      <w:tr w:rsidR="0013741C">
        <w:tblPrEx>
          <w:tblCellMar>
            <w:top w:w="0" w:type="dxa"/>
            <w:bottom w:w="0" w:type="dxa"/>
          </w:tblCellMar>
        </w:tblPrEx>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248/2016/TT-BTC</w:t>
            </w:r>
          </w:p>
        </w:tc>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Thông tư 248/2016/TT-BTC</w:t>
            </w:r>
          </w:p>
        </w:tc>
        <w:tc>
          <w:tcPr>
            <w:tcW w:w="0" w:type="auto"/>
          </w:tcPr>
          <w:p w:rsidR="0013741C" w:rsidRDefault="0013741C"/>
          <w:p w:rsidR="0013741C" w:rsidRDefault="008D74C2">
            <w:pPr>
              <w:spacing w:after="0" w:line="276" w:lineRule="auto"/>
            </w:pPr>
            <w:r>
              <w:rPr>
                <w:rFonts w:ascii="Times New Roman" w:eastAsia="Times New Roman" w:hAnsi="Times New Roman" w:cs="Times New Roman"/>
                <w:sz w:val="26"/>
              </w:rPr>
              <w:t>11-11-2016</w:t>
            </w:r>
          </w:p>
        </w:tc>
        <w:tc>
          <w:tcPr>
            <w:tcW w:w="0" w:type="auto"/>
          </w:tcPr>
          <w:p w:rsidR="0013741C" w:rsidRDefault="0013741C"/>
        </w:tc>
      </w:tr>
    </w:tbl>
    <w:p w:rsidR="0013741C" w:rsidRDefault="008D74C2">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13741C" w:rsidRDefault="008D74C2">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13741C" w:rsidRDefault="008D74C2">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13741C">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13741C"/>
    <w:rsid w:val="0013741C"/>
    <w:rsid w:val="008D74C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9BF9AA-434B-4BA0-A5DB-F68683DF7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703</Words>
  <Characters>4011</Characters>
  <Application>Microsoft Office Word</Application>
  <DocSecurity>0</DocSecurity>
  <Lines>33</Lines>
  <Paragraphs>9</Paragraphs>
  <ScaleCrop>false</ScaleCrop>
  <Company>Microsoft</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